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bookmarkStart w:id="0" w:name="_GoBack"/>
      <w:bookmarkEnd w:id="0"/>
    </w:p>
    <w:p/>
    <w:p/>
    <w:p/>
    <w:p/>
    <w:p/>
    <w:p/>
    <w:p/>
    <w:p>
      <w:pPr>
        <w:tabs>
          <w:tab w:val="left" w:pos="2865"/>
        </w:tabs>
        <w:jc w:val="center"/>
        <w:rPr>
          <w:rFonts w:ascii="宋体"/>
          <w:b/>
          <w:sz w:val="52"/>
          <w:szCs w:val="52"/>
        </w:rPr>
      </w:pPr>
      <w:r>
        <w:rPr>
          <w:rFonts w:hint="eastAsia" w:ascii="宋体" w:hAnsi="宋体"/>
          <w:b/>
          <w:sz w:val="52"/>
          <w:szCs w:val="52"/>
        </w:rPr>
        <w:t>梨树县产品质量计量检测所</w:t>
      </w:r>
    </w:p>
    <w:p>
      <w:pPr>
        <w:tabs>
          <w:tab w:val="left" w:pos="2865"/>
        </w:tabs>
        <w:jc w:val="center"/>
        <w:rPr>
          <w:rFonts w:ascii="宋体"/>
          <w:b/>
          <w:sz w:val="52"/>
          <w:szCs w:val="52"/>
        </w:rPr>
      </w:pPr>
      <w:r>
        <w:rPr>
          <w:rFonts w:ascii="宋体" w:hAnsi="宋体"/>
          <w:b/>
          <w:sz w:val="52"/>
          <w:szCs w:val="52"/>
        </w:rPr>
        <w:t>20</w:t>
      </w:r>
      <w:r>
        <w:rPr>
          <w:rFonts w:hint="eastAsia" w:ascii="宋体" w:hAnsi="宋体"/>
          <w:b/>
          <w:sz w:val="52"/>
          <w:szCs w:val="52"/>
        </w:rPr>
        <w:t>2</w:t>
      </w:r>
      <w:r>
        <w:rPr>
          <w:rFonts w:ascii="宋体" w:hAnsi="宋体"/>
          <w:b/>
          <w:sz w:val="52"/>
          <w:szCs w:val="52"/>
        </w:rPr>
        <w:t>1</w:t>
      </w:r>
      <w:r>
        <w:rPr>
          <w:rFonts w:hint="eastAsia" w:ascii="宋体" w:hAnsi="宋体"/>
          <w:b/>
          <w:sz w:val="52"/>
          <w:szCs w:val="5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目录</w:t>
      </w:r>
    </w:p>
    <w:p>
      <w:pPr>
        <w:tabs>
          <w:tab w:val="left" w:pos="2595"/>
        </w:tabs>
        <w:jc w:val="left"/>
        <w:rPr>
          <w:rFonts w:ascii="宋体"/>
          <w:b/>
          <w:sz w:val="32"/>
          <w:szCs w:val="32"/>
        </w:rPr>
      </w:pPr>
      <w:r>
        <w:rPr>
          <w:rFonts w:hint="eastAsia" w:ascii="宋体" w:hAnsi="宋体"/>
          <w:b/>
          <w:sz w:val="32"/>
          <w:szCs w:val="32"/>
        </w:rPr>
        <w:t>第一部分部门概况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spacing w:line="360" w:lineRule="auto"/>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第一部分部门概况</w:t>
      </w:r>
    </w:p>
    <w:p>
      <w:pPr>
        <w:tabs>
          <w:tab w:val="left" w:pos="2595"/>
        </w:tabs>
        <w:spacing w:line="360" w:lineRule="auto"/>
        <w:jc w:val="center"/>
        <w:rPr>
          <w:rFonts w:asciiTheme="majorEastAsia" w:hAnsiTheme="majorEastAsia" w:eastAsiaTheme="majorEastAsia"/>
          <w:b/>
          <w:sz w:val="32"/>
          <w:szCs w:val="32"/>
        </w:rPr>
      </w:pPr>
    </w:p>
    <w:p>
      <w:pPr>
        <w:numPr>
          <w:ilvl w:val="0"/>
          <w:numId w:val="3"/>
        </w:numPr>
        <w:spacing w:line="360" w:lineRule="auto"/>
        <w:rPr>
          <w:rFonts w:asciiTheme="majorEastAsia" w:hAnsiTheme="majorEastAsia" w:eastAsiaTheme="majorEastAsia"/>
          <w:sz w:val="32"/>
          <w:szCs w:val="32"/>
        </w:rPr>
      </w:pPr>
      <w:r>
        <w:rPr>
          <w:rFonts w:hint="eastAsia" w:asciiTheme="majorEastAsia" w:hAnsiTheme="majorEastAsia" w:eastAsiaTheme="majorEastAsia"/>
          <w:sz w:val="32"/>
          <w:szCs w:val="32"/>
        </w:rPr>
        <w:t>主要职能</w:t>
      </w:r>
    </w:p>
    <w:p>
      <w:pPr>
        <w:pBdr>
          <w:top w:val="none" w:color="000000" w:sz="0" w:space="0"/>
          <w:left w:val="none" w:color="000000" w:sz="0" w:space="0"/>
          <w:bottom w:val="none" w:color="000000" w:sz="0" w:space="0"/>
          <w:right w:val="none" w:color="000000" w:sz="0" w:space="0"/>
        </w:pBdr>
        <w:shd w:val="solid" w:color="FFFFFF" w:fill="auto"/>
        <w:autoSpaceDN w:val="0"/>
        <w:spacing w:line="360" w:lineRule="auto"/>
        <w:ind w:firstLine="480" w:firstLineChars="150"/>
        <w:rPr>
          <w:rFonts w:ascii="宋体" w:hAnsi="宋体"/>
          <w:sz w:val="32"/>
          <w:szCs w:val="32"/>
        </w:rPr>
      </w:pPr>
      <w:r>
        <w:rPr>
          <w:rFonts w:hint="eastAsia" w:ascii="宋体" w:hAnsi="宋体"/>
          <w:sz w:val="32"/>
          <w:szCs w:val="32"/>
        </w:rPr>
        <w:t xml:space="preserve">（一）依据《中华人民共和国产品质量法》﹑《标准化法》、《计量法》等有关法律、法规和有关标准开展产品质量检验、计量检测工作；承担省质量技术监督部门下达的定期产品质量监督检验；承担省级发放准产证的产品质量监督检验；受政府及有关部门委托承担新产品鉴定检验、验货实物检验；受企业委托承担日常产品质量检验；受辖区司法机关及执法部门委托承担质量仲裁检验和其它委托检验；为企业提供相应的技术咨询和技术服务工作。                                              </w:t>
      </w:r>
    </w:p>
    <w:p>
      <w:pPr>
        <w:pBdr>
          <w:top w:val="none" w:color="000000" w:sz="0" w:space="0"/>
          <w:left w:val="none" w:color="000000" w:sz="0" w:space="0"/>
          <w:bottom w:val="none" w:color="000000" w:sz="0" w:space="0"/>
          <w:right w:val="none" w:color="000000" w:sz="0" w:space="0"/>
        </w:pBdr>
        <w:shd w:val="solid" w:color="FFFFFF" w:fill="auto"/>
        <w:autoSpaceDN w:val="0"/>
        <w:spacing w:line="360" w:lineRule="auto"/>
        <w:ind w:firstLine="480" w:firstLineChars="150"/>
        <w:rPr>
          <w:rFonts w:ascii="宋体" w:hAnsi="宋体"/>
          <w:sz w:val="32"/>
          <w:szCs w:val="32"/>
        </w:rPr>
      </w:pPr>
      <w:r>
        <w:rPr>
          <w:rFonts w:hint="eastAsia" w:ascii="宋体" w:hAnsi="宋体"/>
          <w:sz w:val="32"/>
          <w:szCs w:val="32"/>
        </w:rPr>
        <w:t xml:space="preserve">（二）为量值准确提供测试、检定保障；从事工作计量器具强制检定，计量标准器具检定测试、校准，工作计量器具检定、测试、校准。                                                                 </w:t>
      </w:r>
    </w:p>
    <w:p>
      <w:pPr>
        <w:pBdr>
          <w:top w:val="none" w:color="000000" w:sz="0" w:space="0"/>
          <w:left w:val="none" w:color="000000" w:sz="0" w:space="0"/>
          <w:bottom w:val="none" w:color="000000" w:sz="0" w:space="0"/>
          <w:right w:val="none" w:color="000000" w:sz="0" w:space="0"/>
        </w:pBdr>
        <w:shd w:val="solid" w:color="FFFFFF" w:fill="auto"/>
        <w:autoSpaceDN w:val="0"/>
        <w:spacing w:line="360" w:lineRule="auto"/>
        <w:ind w:firstLine="480" w:firstLineChars="150"/>
        <w:rPr>
          <w:rFonts w:ascii="宋体" w:hAnsi="宋体"/>
          <w:sz w:val="32"/>
          <w:szCs w:val="32"/>
        </w:rPr>
      </w:pPr>
      <w:r>
        <w:rPr>
          <w:rFonts w:hint="eastAsia" w:ascii="宋体" w:hAnsi="宋体"/>
          <w:sz w:val="32"/>
          <w:szCs w:val="32"/>
        </w:rPr>
        <w:t>（三）开展区域内衡器检定工作，为社会经济发展提供服务。组织实施区域内生产领域及各行业单位中生产和使用各类衡器的强制检定、仲裁检定及维修、安装、校准等工作，对生产企业定量包装商品净含量检测。</w:t>
      </w:r>
    </w:p>
    <w:p>
      <w:pPr>
        <w:spacing w:line="360" w:lineRule="auto"/>
        <w:ind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二、机构设置</w:t>
      </w:r>
    </w:p>
    <w:p>
      <w:pPr>
        <w:pStyle w:val="14"/>
        <w:spacing w:line="360" w:lineRule="auto"/>
        <w:ind w:firstLine="640" w:firstLineChars="200"/>
        <w:rPr>
          <w:rFonts w:asciiTheme="majorEastAsia" w:hAnsiTheme="majorEastAsia" w:eastAsiaTheme="majorEastAsia"/>
        </w:rPr>
      </w:pPr>
      <w:r>
        <w:rPr>
          <w:rFonts w:hint="eastAsia" w:asciiTheme="majorEastAsia" w:hAnsiTheme="majorEastAsia" w:eastAsiaTheme="majorEastAsia"/>
        </w:rPr>
        <w:t>根据上述职责，</w:t>
      </w:r>
      <w:r>
        <w:rPr>
          <w:rFonts w:hint="eastAsia" w:ascii="宋体" w:hAnsi="宋体"/>
        </w:rPr>
        <w:t>本单位独立核算机构数1个，独立编制机构数1个，无其他下设机构。</w:t>
      </w:r>
    </w:p>
    <w:p>
      <w:pPr>
        <w:tabs>
          <w:tab w:val="left" w:pos="690"/>
        </w:tabs>
        <w:ind w:firstLine="2875" w:firstLineChars="895"/>
        <w:rPr>
          <w:rFonts w:ascii="宋体" w:hAnsi="宋体"/>
          <w:b/>
          <w:sz w:val="32"/>
          <w:szCs w:val="32"/>
        </w:rPr>
      </w:pPr>
    </w:p>
    <w:p>
      <w:pPr>
        <w:tabs>
          <w:tab w:val="left" w:pos="690"/>
        </w:tabs>
        <w:ind w:firstLine="2554" w:firstLineChars="795"/>
        <w:rPr>
          <w:rFonts w:ascii="宋体"/>
          <w:b/>
          <w:sz w:val="32"/>
          <w:szCs w:val="32"/>
        </w:rPr>
      </w:pPr>
      <w:r>
        <w:rPr>
          <w:rFonts w:hint="eastAsia" w:ascii="宋体" w:hAnsi="宋体"/>
          <w:b/>
          <w:sz w:val="32"/>
          <w:szCs w:val="32"/>
        </w:rPr>
        <w:t>第二部分预算表格</w:t>
      </w:r>
    </w:p>
    <w:p>
      <w:pPr>
        <w:tabs>
          <w:tab w:val="left" w:pos="690"/>
        </w:tabs>
        <w:rPr>
          <w:rFonts w:ascii="宋体"/>
          <w:sz w:val="32"/>
          <w:szCs w:val="32"/>
        </w:rPr>
      </w:pP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w:t>
      </w:r>
    </w:p>
    <w:p>
      <w:pPr>
        <w:tabs>
          <w:tab w:val="left" w:pos="1200"/>
        </w:tabs>
        <w:ind w:firstLine="660"/>
        <w:jc w:val="left"/>
        <w:rPr>
          <w:rFonts w:ascii="宋体"/>
          <w:sz w:val="32"/>
          <w:szCs w:val="32"/>
        </w:rPr>
      </w:pPr>
      <w:r>
        <w:rPr>
          <w:rFonts w:hint="eastAsia" w:ascii="宋体"/>
          <w:sz w:val="32"/>
          <w:szCs w:val="32"/>
        </w:rPr>
        <w:t>2021年收支总预算702万元，比2020年预算减少221     万元，主要原因是</w:t>
      </w:r>
      <w:r>
        <w:rPr>
          <w:rFonts w:hint="eastAsia" w:ascii="宋体"/>
          <w:sz w:val="32"/>
          <w:szCs w:val="32"/>
          <w:lang w:eastAsia="zh-CN"/>
        </w:rPr>
        <w:t>医保社保拨款和人员工资变动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2021年收入预算702万元，其中：本年收入702万元，占100%。本年收入中，一般公共预算拨款收入702万元，占100%。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2021年支出预算702万元，其中：基本支出702万元，占 100%；项目支出 0万元，占0%。基本支出中，人员经费 702万元，占100%；公用经费0万元，占0%。</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2021年财政拨款收支总预算702万元，其中：一般公共预算拨款702万元。支出包括：一般公共服务支出702万元。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2021年一般公共预算当年拨款702万元，其中：基本支出702万元，占 100 %；项目支出 0 万元，占 0%。基本支出中，人员经费 702 万元，占100%；公用经费  0万元，占 0%。</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2021年一般公共预算基本支出702万元，其中：人员经费 702万元，主要包括：基本工资、津贴补贴、退休费、生活补助、其他对个人和家庭的补助支出。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公用经费0万元。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2021年“三公”经费预算数为0万元，比2020年预算数减少 0万元。</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无。</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无。</w:t>
      </w:r>
    </w:p>
    <w:p>
      <w:pPr>
        <w:ind w:firstLine="320" w:firstLineChars="100"/>
        <w:rPr>
          <w:rFonts w:ascii="宋体"/>
          <w:sz w:val="32"/>
          <w:szCs w:val="32"/>
        </w:rPr>
      </w:pPr>
      <w:r>
        <w:rPr>
          <w:rFonts w:hint="eastAsia" w:ascii="宋体"/>
          <w:sz w:val="32"/>
          <w:szCs w:val="32"/>
        </w:rPr>
        <w:t>（三）国有资产占有使用情况</w:t>
      </w:r>
    </w:p>
    <w:p>
      <w:pPr>
        <w:ind w:firstLine="480" w:firstLineChars="150"/>
        <w:rPr>
          <w:rFonts w:ascii="宋体"/>
          <w:sz w:val="32"/>
          <w:szCs w:val="32"/>
        </w:rPr>
      </w:pPr>
      <w:r>
        <w:rPr>
          <w:rFonts w:hint="eastAsia" w:ascii="宋体"/>
          <w:sz w:val="32"/>
          <w:szCs w:val="32"/>
        </w:rPr>
        <w:t>截止至2020年12月31日，部门本级共有车辆 14辆，其中，特种专业技术用车6辆、其他用车 8辆。单位价值50万元以上通用设备 0台（套），单位价值100万元以上专用设备 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无。</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jMGVmNWYyZTNjNjE3MzIwNjQ2MDcxOWI5YWM5MDkifQ=="/>
  </w:docVars>
  <w:rsids>
    <w:rsidRoot w:val="00564D7B"/>
    <w:rsid w:val="00274A4E"/>
    <w:rsid w:val="003E3E6C"/>
    <w:rsid w:val="00564D7B"/>
    <w:rsid w:val="00577E05"/>
    <w:rsid w:val="008937C2"/>
    <w:rsid w:val="00B753ED"/>
    <w:rsid w:val="00BE6443"/>
    <w:rsid w:val="00E51F53"/>
    <w:rsid w:val="13E23345"/>
    <w:rsid w:val="5607085B"/>
    <w:rsid w:val="6765034B"/>
    <w:rsid w:val="759311F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qFormat/>
    <w:uiPriority w:val="9"/>
    <w:rPr>
      <w:rFonts w:ascii="宋体" w:hAnsi="宋体" w:cs="宋体"/>
      <w:b/>
      <w:bCs/>
    </w:rPr>
  </w:style>
  <w:style w:type="paragraph" w:customStyle="1" w:styleId="14">
    <w:name w:val="p0"/>
    <w:basedOn w:val="1"/>
    <w:qFormat/>
    <w:uiPriority w:val="0"/>
    <w:pPr>
      <w:widowControl/>
    </w:pPr>
    <w:rPr>
      <w:rFonts w:ascii="Times New Roman" w:hAnsi="Times New Roman"/>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2685</Words>
  <Characters>2803</Characters>
  <Lines>23</Lines>
  <Paragraphs>6</Paragraphs>
  <TotalTime>34</TotalTime>
  <ScaleCrop>false</ScaleCrop>
  <LinksUpToDate>false</LinksUpToDate>
  <CharactersWithSpaces>3261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2022-09-08T08:40:35Z</dcterms:modified>
  <dc:title>梨树县XXX局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6204EB6F764D4CB28789B721194C8D36</vt:lpwstr>
  </property>
</Properties>
</file>